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FE" w:rsidRPr="00C75BFE" w:rsidRDefault="00C75BFE" w:rsidP="00C75BFE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 w:bidi="ar-SA"/>
        </w:rPr>
        <w:t>Размер и п</w:t>
      </w:r>
      <w:r w:rsidRPr="00C75BFE">
        <w:rPr>
          <w:rFonts w:ascii="Times New Roman" w:hAnsi="Times New Roman"/>
          <w:b/>
          <w:sz w:val="28"/>
          <w:szCs w:val="28"/>
          <w:lang w:val="ru-RU" w:bidi="ar-SA"/>
        </w:rPr>
        <w:t xml:space="preserve">орядок </w:t>
      </w: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расчета стоимости </w:t>
      </w:r>
      <w:r w:rsidRPr="00C75BFE">
        <w:rPr>
          <w:rFonts w:ascii="Times New Roman" w:hAnsi="Times New Roman"/>
          <w:b/>
          <w:sz w:val="28"/>
          <w:szCs w:val="28"/>
          <w:lang w:val="ru-RU" w:bidi="ar-SA"/>
        </w:rPr>
        <w:t>электрической</w:t>
      </w:r>
      <w:r>
        <w:rPr>
          <w:rFonts w:ascii="Times New Roman" w:hAnsi="Times New Roman"/>
          <w:b/>
          <w:sz w:val="28"/>
          <w:szCs w:val="28"/>
          <w:lang w:val="ru-RU" w:bidi="ar-SA"/>
        </w:rPr>
        <w:t xml:space="preserve"> </w:t>
      </w:r>
      <w:r w:rsidRPr="00C75BFE">
        <w:rPr>
          <w:rFonts w:ascii="Times New Roman" w:hAnsi="Times New Roman"/>
          <w:b/>
          <w:sz w:val="28"/>
          <w:szCs w:val="28"/>
          <w:lang w:val="ru-RU" w:bidi="ar-SA"/>
        </w:rPr>
        <w:t>энергии</w:t>
      </w:r>
      <w:r>
        <w:rPr>
          <w:rFonts w:ascii="Times New Roman" w:hAnsi="Times New Roman"/>
          <w:b/>
          <w:sz w:val="28"/>
          <w:szCs w:val="28"/>
          <w:lang w:val="ru-RU" w:bidi="ar-SA"/>
        </w:rPr>
        <w:t>, действующие тарифы и льготы.</w:t>
      </w:r>
    </w:p>
    <w:p w:rsidR="00C75BFE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r w:rsidRPr="009C0219">
        <w:rPr>
          <w:rFonts w:ascii="Times New Roman" w:hAnsi="Times New Roman"/>
          <w:sz w:val="28"/>
          <w:szCs w:val="28"/>
          <w:lang w:val="ru-RU" w:eastAsia="ru-RU" w:bidi="ar-SA"/>
        </w:rPr>
        <w:t xml:space="preserve">Для учета </w:t>
      </w:r>
      <w:proofErr w:type="gramStart"/>
      <w:r w:rsidRPr="009C0219">
        <w:rPr>
          <w:rFonts w:ascii="Times New Roman" w:hAnsi="Times New Roman"/>
          <w:sz w:val="28"/>
          <w:szCs w:val="28"/>
          <w:lang w:val="ru-RU" w:eastAsia="ru-RU" w:bidi="ar-SA"/>
        </w:rPr>
        <w:t>электрической энергии, потребляемой гражданами подлежат</w:t>
      </w:r>
      <w:proofErr w:type="gramEnd"/>
      <w:r w:rsidRPr="009C0219">
        <w:rPr>
          <w:rFonts w:ascii="Times New Roman" w:hAnsi="Times New Roman"/>
          <w:sz w:val="28"/>
          <w:szCs w:val="28"/>
          <w:lang w:val="ru-RU" w:eastAsia="ru-RU" w:bidi="ar-SA"/>
        </w:rPr>
        <w:t xml:space="preserve"> использованию приборы учета класса точности 2,0 и выше. При этом установка приборов учета электрической энергии более высокого класса точности и (или) обладающих дополнительными функциями осуществляется за счет потребителя только при его согласии.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Объем фактически полученной Потребителем за расчетный период электрической энергии определяется на основании показаний прибора учета, поверенного в установленном порядке и внесенного в государственный реестр средств измерений. Если класс точности прибора учета ниже чем 2,0, в случае выбытия его из эксплуатации либо при иных условиях по соглашению сторон он должен быть заменен на прибор учета того же или более высокого класса точности.</w:t>
      </w:r>
    </w:p>
    <w:p w:rsidR="00C75BFE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2. Сохранность прибора учета определяется отсутствием следов порчи корпуса прибора или повреждения его внутреннего оборудования, а также сохранностью пломбы и знака маркировки (идентификационного номера).</w:t>
      </w:r>
    </w:p>
    <w:p w:rsidR="00C75BFE" w:rsidRPr="00E45BD8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45BD8">
        <w:rPr>
          <w:rFonts w:ascii="Times New Roman" w:hAnsi="Times New Roman"/>
          <w:sz w:val="28"/>
          <w:szCs w:val="28"/>
          <w:lang w:val="ru-RU" w:bidi="ar-SA"/>
        </w:rPr>
        <w:t>3.</w:t>
      </w:r>
      <w:r w:rsidRPr="00E45B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5BD8">
        <w:rPr>
          <w:rFonts w:ascii="Times New Roman" w:hAnsi="Times New Roman"/>
          <w:sz w:val="28"/>
          <w:szCs w:val="28"/>
          <w:lang w:val="ru-RU"/>
        </w:rPr>
        <w:t>В случае выхода из строя или утраты ранее введенного в эксплуатацию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установленным</w:t>
      </w:r>
      <w:proofErr w:type="gramEnd"/>
      <w:r w:rsidRPr="00E45BD8">
        <w:rPr>
          <w:rFonts w:ascii="Times New Roman" w:hAnsi="Times New Roman"/>
          <w:sz w:val="28"/>
          <w:szCs w:val="28"/>
          <w:lang w:val="ru-RU"/>
        </w:rPr>
        <w:t xml:space="preserve"> требованиям индивидуального прибора учета, но не более 3 расчетных периодов подряд, плата за электрическую энергию определяется исходя из рассчитанного среднемесячного объема потребления электрической энергии потребителем, определенного по показаниям индивидуального прибора учета за период не менее 1</w:t>
      </w:r>
      <w:r w:rsidRPr="00E45BD8">
        <w:rPr>
          <w:rFonts w:ascii="Times New Roman" w:hAnsi="Times New Roman"/>
          <w:sz w:val="28"/>
          <w:szCs w:val="28"/>
        </w:rPr>
        <w:t> </w:t>
      </w:r>
      <w:r w:rsidRPr="00E45BD8">
        <w:rPr>
          <w:rFonts w:ascii="Times New Roman" w:hAnsi="Times New Roman"/>
          <w:sz w:val="28"/>
          <w:szCs w:val="28"/>
          <w:lang w:val="ru-RU"/>
        </w:rPr>
        <w:t>года.</w:t>
      </w:r>
      <w:r w:rsidRPr="00E45BD8" w:rsidDel="00D071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BD8">
        <w:rPr>
          <w:rFonts w:ascii="Times New Roman" w:hAnsi="Times New Roman"/>
          <w:sz w:val="28"/>
          <w:szCs w:val="28"/>
          <w:lang w:val="ru-RU"/>
        </w:rPr>
        <w:t>По истечении предельного количества расчетных периодов плата за электрическую энергию определяется исходя из нормативов потребления электрической энергии.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gramStart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Если точки присоединения </w:t>
      </w:r>
      <w:proofErr w:type="spellStart"/>
      <w:r w:rsidRPr="009C0219">
        <w:rPr>
          <w:rFonts w:ascii="Times New Roman" w:hAnsi="Times New Roman"/>
          <w:sz w:val="28"/>
          <w:szCs w:val="28"/>
          <w:lang w:val="ru-RU" w:bidi="ar-SA"/>
        </w:rPr>
        <w:t>энергопринимающего</w:t>
      </w:r>
      <w:proofErr w:type="spellEnd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устройства Потребителя не оборудованы соответствующими требованиям приборами учета, определение объема потребленной электрической энергии и объема оказанных услуг осуществляется в соответствии с </w:t>
      </w:r>
      <w:hyperlink r:id="rId4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Правилами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г. № 354.</w:t>
      </w:r>
      <w:proofErr w:type="gramEnd"/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5. Расчеты за электрическую энергию, поданную Гарантирующим поставщиком Потребителю, и оказанные ему производятся Потребителем ежемесячно, не позднее 10-го числа месяца, следующего за расчетным периодом.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Pr="009C0219">
        <w:rPr>
          <w:rFonts w:ascii="Times New Roman" w:hAnsi="Times New Roman"/>
          <w:sz w:val="28"/>
          <w:szCs w:val="28"/>
          <w:lang w:val="ru-RU" w:bidi="ar-SA"/>
        </w:rPr>
        <w:t>. Расчетным периодом является 1 календарный месяц.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7</w:t>
      </w:r>
      <w:r w:rsidRPr="009C0219">
        <w:rPr>
          <w:rFonts w:ascii="Times New Roman" w:hAnsi="Times New Roman"/>
          <w:sz w:val="28"/>
          <w:szCs w:val="28"/>
          <w:lang w:val="ru-RU" w:bidi="ar-SA"/>
        </w:rPr>
        <w:t>. При несвоевременной оплате электрической энергии Потребитель уплачивает в пользу Гарантирующего поставщика пени в соответствии с действующим законодательством.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8</w:t>
      </w: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. Стоимость электрической энергии рассчитывается по тарифам, установленным в порядке, определенном </w:t>
      </w:r>
      <w:hyperlink r:id="rId5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законодательством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о государственном регулировании цен (тарифов). В случае установления надбавок к тарифам (ценам) стоимость электроэнергии рассчитывается с учетом таких надбавок.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9C0219">
        <w:rPr>
          <w:rFonts w:ascii="Times New Roman" w:hAnsi="Times New Roman"/>
          <w:sz w:val="28"/>
          <w:szCs w:val="28"/>
          <w:lang w:val="ru-RU" w:bidi="ar-SA"/>
        </w:rPr>
        <w:t>Стоимость электрической энергии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коллективный (</w:t>
      </w:r>
      <w:proofErr w:type="spellStart"/>
      <w:r w:rsidRPr="009C0219">
        <w:rPr>
          <w:rFonts w:ascii="Times New Roman" w:hAnsi="Times New Roman"/>
          <w:sz w:val="28"/>
          <w:szCs w:val="28"/>
          <w:lang w:val="ru-RU" w:bidi="ar-SA"/>
        </w:rPr>
        <w:t>общедомовой</w:t>
      </w:r>
      <w:proofErr w:type="spellEnd"/>
      <w:r w:rsidRPr="009C0219">
        <w:rPr>
          <w:rFonts w:ascii="Times New Roman" w:hAnsi="Times New Roman"/>
          <w:sz w:val="28"/>
          <w:szCs w:val="28"/>
          <w:lang w:val="ru-RU" w:bidi="ar-SA"/>
        </w:rPr>
        <w:t>) прибор учета в многоквартирном доме или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позволяют осуществлять такого рода дифференцированные измерения объема коммунального ресурса</w:t>
      </w:r>
      <w:proofErr w:type="gramEnd"/>
      <w:r w:rsidRPr="009C0219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В случае поставки Гарантирующим поставщиком электрической энергии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Договором и </w:t>
      </w:r>
      <w:hyperlink r:id="rId6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Правилами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предоставления коммунальных услуг.</w:t>
      </w:r>
    </w:p>
    <w:p w:rsidR="00C75BFE" w:rsidRPr="009C0219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9</w:t>
      </w: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. Установление факта непредставления услуги энергоснабжения или предоставления указанной услуги ненадлежащего качества происходит по письменному заявлению Потребителя. </w:t>
      </w:r>
      <w:proofErr w:type="gramStart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Расчет в следующем порядке, при предоставлении в расчетном периоде потребителю в жилом или нежилом помещении или на </w:t>
      </w:r>
      <w:proofErr w:type="spellStart"/>
      <w:r w:rsidRPr="009C0219">
        <w:rPr>
          <w:rFonts w:ascii="Times New Roman" w:hAnsi="Times New Roman"/>
          <w:sz w:val="28"/>
          <w:szCs w:val="28"/>
          <w:lang w:val="ru-RU" w:bidi="ar-SA"/>
        </w:rPr>
        <w:t>общедомовые</w:t>
      </w:r>
      <w:proofErr w:type="spellEnd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</w:t>
      </w:r>
      <w:proofErr w:type="gramEnd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период подлежит уменьшению вплоть до полного освобождения потребителя от оплаты такой услуги.</w:t>
      </w:r>
    </w:p>
    <w:p w:rsidR="00C75BFE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proofErr w:type="gramStart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установлены </w:t>
      </w:r>
      <w:hyperlink r:id="rId7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Правилами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</w:t>
      </w:r>
      <w:proofErr w:type="gramEnd"/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Федерации от 06.05.2011 г. № 354.</w:t>
      </w:r>
    </w:p>
    <w:p w:rsidR="00C75BFE" w:rsidRDefault="00C75BFE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624AB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арантирующий поставщик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 предоставляет потребителю возможность внесения платы за потребленную электрическую энергию в</w:t>
      </w:r>
      <w:r w:rsidRPr="00624ABB">
        <w:rPr>
          <w:rFonts w:ascii="Times New Roman" w:hAnsi="Times New Roman"/>
          <w:sz w:val="28"/>
          <w:szCs w:val="28"/>
        </w:rPr>
        <w:t> </w:t>
      </w:r>
      <w:r w:rsidRPr="00624ABB">
        <w:rPr>
          <w:rFonts w:ascii="Times New Roman" w:hAnsi="Times New Roman"/>
          <w:sz w:val="28"/>
          <w:szCs w:val="28"/>
          <w:lang w:val="ru-RU"/>
        </w:rPr>
        <w:t>рассрочку, если начисленный потребителю размер платы за электрическую энергию в каком-</w:t>
      </w:r>
      <w:r w:rsidRPr="00624ABB">
        <w:rPr>
          <w:rFonts w:ascii="Times New Roman" w:hAnsi="Times New Roman"/>
          <w:sz w:val="28"/>
          <w:szCs w:val="28"/>
          <w:lang w:val="ru-RU"/>
        </w:rPr>
        <w:lastRenderedPageBreak/>
        <w:t xml:space="preserve">либо расчетном периоде превысит более чем на 25 процентов размер платы за электрическую энергию, начисленную за аналогичный расчетный период прошлого года. </w:t>
      </w:r>
      <w:proofErr w:type="gramStart"/>
      <w:r w:rsidRPr="00624ABB">
        <w:rPr>
          <w:rFonts w:ascii="Times New Roman" w:hAnsi="Times New Roman"/>
          <w:sz w:val="28"/>
          <w:szCs w:val="28"/>
          <w:lang w:val="ru-RU"/>
        </w:rPr>
        <w:t>Предоставление такой возможности осуществляется путем включения в платежный документ, предоставляемый Г</w:t>
      </w:r>
      <w:r>
        <w:rPr>
          <w:rFonts w:ascii="Times New Roman" w:hAnsi="Times New Roman"/>
          <w:sz w:val="28"/>
          <w:szCs w:val="28"/>
          <w:lang w:val="ru-RU"/>
        </w:rPr>
        <w:t>арантирующим поставщиком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 потребителю, наряду с позицией, предусматривающей внесение платы за</w:t>
      </w:r>
      <w:r w:rsidRPr="00624ABB">
        <w:rPr>
          <w:rFonts w:ascii="Times New Roman" w:hAnsi="Times New Roman"/>
          <w:sz w:val="28"/>
          <w:szCs w:val="28"/>
        </w:rPr>
        <w:t> </w:t>
      </w:r>
      <w:r w:rsidRPr="00624ABB">
        <w:rPr>
          <w:rFonts w:ascii="Times New Roman" w:hAnsi="Times New Roman"/>
          <w:sz w:val="28"/>
          <w:szCs w:val="28"/>
          <w:lang w:val="ru-RU"/>
        </w:rPr>
        <w:t>электрическую энергию за расчетный период единовременно, позиций, предусматривающих возможность внесения потребителем платы в рассрочку в размере одной двенадцатой размера платы за электрическую энергию за истекший (истекшие) расчетный период, в котором (которых) возникло указанное превышение, и суммы процентов за пользование рассрочкой</w:t>
      </w:r>
      <w:proofErr w:type="gramEnd"/>
      <w:r w:rsidRPr="00624A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624ABB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624ABB">
        <w:rPr>
          <w:rFonts w:ascii="Times New Roman" w:hAnsi="Times New Roman"/>
          <w:sz w:val="28"/>
          <w:szCs w:val="28"/>
          <w:lang w:val="ru-RU"/>
        </w:rPr>
        <w:t xml:space="preserve"> подлежит внесению потребителем при оплате коммунальной услуги по этому платежному документу.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ABB">
        <w:rPr>
          <w:rFonts w:ascii="Times New Roman" w:hAnsi="Times New Roman"/>
          <w:sz w:val="28"/>
          <w:szCs w:val="28"/>
          <w:lang w:val="ru-RU"/>
        </w:rPr>
        <w:t>При расчете величины превышения размера платы за электрическую энергию не учитывается величина превышения, возникшая вследствие увеличения в жилом помещении числа постоянно и временно проживающих потребителей.</w:t>
      </w:r>
    </w:p>
    <w:p w:rsidR="00F04FAC" w:rsidRDefault="00F04FAC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4FAC" w:rsidRDefault="00F04FAC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4FAC" w:rsidRDefault="00F04FAC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4FAC" w:rsidRPr="00624ABB" w:rsidRDefault="00F04FAC" w:rsidP="00C75BF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4FAC" w:rsidRPr="00B0079E" w:rsidRDefault="00F04FAC" w:rsidP="00F04FAC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val="ru-RU" w:eastAsia="ru-RU"/>
        </w:rPr>
      </w:pPr>
      <w:r w:rsidRPr="00B0079E">
        <w:rPr>
          <w:rFonts w:ascii="Arial" w:eastAsia="Times New Roman" w:hAnsi="Arial" w:cs="Arial"/>
          <w:color w:val="000000"/>
          <w:kern w:val="36"/>
          <w:sz w:val="42"/>
          <w:szCs w:val="42"/>
          <w:lang w:val="ru-RU" w:eastAsia="ru-RU"/>
        </w:rPr>
        <w:t>Льготы и субсидии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</w:pPr>
      <w:r w:rsidRPr="00F04FAC">
        <w:rPr>
          <w:rFonts w:ascii="Times New Roman" w:eastAsia="Times New Roman" w:hAnsi="Times New Roman"/>
          <w:b/>
          <w:bCs/>
          <w:color w:val="343434"/>
          <w:sz w:val="24"/>
          <w:szCs w:val="24"/>
          <w:lang w:val="ru-RU" w:eastAsia="ru-RU"/>
        </w:rPr>
        <w:t>С августа 2008 года произошли изменения в расчетах за электроэнергию, оплачиваемую отдельными категориями граждан.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</w:pPr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>С 1 августа 2008 года вступил в силу Закон Самарской области «О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отдельные законы Самарской области». Закон предусматривает замену льгот на оплату коммунальных услуг денежными выплатами.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</w:pPr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>В связи с принятым законом О</w:t>
      </w:r>
      <w:r w:rsidRPr="00F04FAC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>О</w:t>
      </w:r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>О «</w:t>
      </w:r>
      <w:r w:rsidRPr="00F04FAC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>ТольяттиЭнергоСбыт</w:t>
      </w:r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 xml:space="preserve">» информирует льготников об изменении расчетов за электрическую энергию. С 1 августа 2008 года все категории граждан обязаны оплачивать электроэнергию полностью по тарифам, утвержденным </w:t>
      </w:r>
      <w:proofErr w:type="spellStart"/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>УГРиКЭ</w:t>
      </w:r>
      <w:proofErr w:type="spellEnd"/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 xml:space="preserve"> Самарской области. Ежемесячные денежные выплаты в качестве компенсации оплаты за электроэнергию</w:t>
      </w:r>
      <w:r w:rsidRPr="00B0079E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 </w:t>
      </w:r>
      <w:r w:rsidRPr="00B0079E">
        <w:rPr>
          <w:rFonts w:ascii="Times New Roman" w:eastAsia="Times New Roman" w:hAnsi="Times New Roman"/>
          <w:color w:val="343434"/>
          <w:sz w:val="24"/>
          <w:szCs w:val="24"/>
          <w:lang w:val="ru-RU" w:eastAsia="ru-RU"/>
        </w:rPr>
        <w:t xml:space="preserve"> будут производить органы соцзащиты.</w:t>
      </w:r>
      <w:r w:rsidRPr="00B0079E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    </w:t>
      </w:r>
    </w:p>
    <w:p w:rsidR="00F04FAC" w:rsidRPr="00B0079E" w:rsidRDefault="00F04FAC" w:rsidP="00F04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605" w:type="dxa"/>
        <w:tblInd w:w="-1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1995"/>
        <w:gridCol w:w="8220"/>
      </w:tblGrid>
      <w:tr w:rsidR="00F04FAC" w:rsidRPr="00B0079E" w:rsidTr="00023D42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2A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/>
              </w:rPr>
              <w:t>КАТЕГОРИИ ГРАЖДАН, ИМЕЮШИХ ПРАВО НА СОЦИАЛЬНУЮ ПОДДЕРЖКУ ПО ОПЛАТЕ ЭЛЕКТРИЧЕСКОЙ ЭНЕРГИИ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2A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НОМЕР И НАЗВАНИЕ ЗАКОНА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Инвалиды Отечественной войны и инвалиды боевых действий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Участники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Великой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Отечественной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войны</w:t>
            </w:r>
            <w:proofErr w:type="spellEnd"/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Лица, награжденные знаком "Жителю блокадного Ленинграда"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Члены семей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Инвалиды и семьи, имеющие детей инвалидов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Федеральный закон "О социальной защите инвалидов в РФ "от 2411.95г. №181-ФЗ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01.12.2007г.)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Герои Советского Союза; Герои Российской Федерации и полные кавалеры ордена Славы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18.10.2007г); Федеральный закон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" О статусе героев Советского Союза, героев РФ и полных кавалеров ордена Славы" №4301-1 от 15.01.1993г. ( в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26.06.2007г.)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Федеральный закон о предоставлении социальной гарантии героям соц. Труда и полным кавалерам ордена Трудовой славы.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09.05.2006г. №67-ФЗ)</w:t>
            </w:r>
          </w:p>
        </w:tc>
      </w:tr>
      <w:tr w:rsidR="00F04FAC" w:rsidRPr="00B0079E" w:rsidTr="00023D42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Граждане, подвергшиеся радиационному воздействию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вследствии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чернобыльской</w:t>
            </w:r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и других радиационных катастроф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 о социальной защите граждан, подвергшихся воздействию радиации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вследствии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катастрофы на Чернобыльской АЭС (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8.11.2007г.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№1244-1)  ;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04FAC" w:rsidRPr="00B0079E" w:rsidTr="00023D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FAC" w:rsidRPr="00B0079E" w:rsidRDefault="00F04FAC" w:rsidP="00023D4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FAC" w:rsidRPr="00B0079E" w:rsidRDefault="00F04FAC" w:rsidP="00023D42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Федеральный закон о социальных гарантиях граждан, подвергшихся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радиоционному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воздействию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вследствие ядерных испытаний на Семипалатинском полигоне (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29.12.2004г. №2-ФЗ) ;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    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признаные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инвалидами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Ветераны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труда</w:t>
            </w:r>
            <w:proofErr w:type="spellEnd"/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Федеральный закон"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 ВЕТЕРАНАХ" №5 ФЗ от 12.01.1995г.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18.10.2007г.)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Реабилитированные 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lastRenderedPageBreak/>
              <w:t>лица и лица, признанные пострадавшими от политических репрессий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lastRenderedPageBreak/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Закон" О реабилитации жертв политических репрессий"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№1761-1 от 18.10.1991г.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( 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от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lastRenderedPageBreak/>
              <w:t>01.07.2005г.)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Многодетные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семьи</w:t>
            </w:r>
            <w:proofErr w:type="spellEnd"/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Указ президента РФ" О мерах по социальной поддержке многодетных семей"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№ 431 от 05.05.1992г.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    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ред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.   </w:t>
            </w:r>
            <w:proofErr w:type="spell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от</w:t>
            </w:r>
            <w:proofErr w:type="spell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 xml:space="preserve"> 25.02.2003г.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i/>
                <w:iCs/>
                <w:color w:val="343434"/>
                <w:sz w:val="18"/>
                <w:szCs w:val="18"/>
                <w:lang w:eastAsia="ru-RU"/>
              </w:rPr>
              <w:t>)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Педагогические, медицинские, фармацевтические и другие работники, работающие и проживающие в сельской местности, в рабочих поселках (поселках городского типа)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Закон Самарской области о мерах социальной поддержки отдельных категорий граждан, проживающих и работающих в сельской местности на территории Самарской области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  </w:t>
            </w: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(в </w:t>
            </w:r>
            <w:proofErr w:type="spellStart"/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ред</w:t>
            </w:r>
            <w:proofErr w:type="spellEnd"/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от 22.02.2005г. № 87-ГД)</w:t>
            </w:r>
          </w:p>
        </w:tc>
      </w:tr>
      <w:tr w:rsidR="00F04FAC" w:rsidRPr="00B0079E" w:rsidTr="00023D4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Иные категории граждан, кроме перечисленных, которым предоставляются льготы по оплате жилья и коммунальных услуг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079E" w:rsidRPr="00B0079E" w:rsidRDefault="00F04FAC" w:rsidP="00023D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</w:pPr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>Постановления и решения</w:t>
            </w:r>
            <w:proofErr w:type="gramStart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B0079E">
              <w:rPr>
                <w:rFonts w:ascii="Arial" w:eastAsia="Times New Roman" w:hAnsi="Arial" w:cs="Arial"/>
                <w:color w:val="343434"/>
                <w:sz w:val="18"/>
                <w:szCs w:val="18"/>
                <w:lang w:val="ru-RU" w:eastAsia="ru-RU"/>
              </w:rPr>
              <w:t xml:space="preserve"> принятые местными администрациями.</w:t>
            </w:r>
          </w:p>
        </w:tc>
      </w:tr>
    </w:tbl>
    <w:p w:rsidR="00F04FAC" w:rsidRPr="00B0079E" w:rsidRDefault="00F04FAC" w:rsidP="00F04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F04FAC" w:rsidRPr="00B0079E" w:rsidRDefault="00F04FAC" w:rsidP="00F04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proofErr w:type="gramStart"/>
      <w:r w:rsidRPr="00B0079E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val="ru-RU" w:eastAsia="ru-RU"/>
        </w:rPr>
        <w:t>П</w:t>
      </w:r>
      <w:proofErr w:type="gramEnd"/>
      <w:r w:rsidRPr="00B0079E">
        <w:rPr>
          <w:rFonts w:ascii="Arial" w:eastAsia="Times New Roman" w:hAnsi="Arial" w:cs="Arial"/>
          <w:b/>
          <w:bCs/>
          <w:color w:val="343434"/>
          <w:sz w:val="18"/>
          <w:szCs w:val="18"/>
          <w:u w:val="single"/>
          <w:lang w:val="ru-RU" w:eastAsia="ru-RU"/>
        </w:rPr>
        <w:t xml:space="preserve"> Е Р Е Ч Е Н Ь</w:t>
      </w:r>
    </w:p>
    <w:p w:rsidR="00F04FAC" w:rsidRPr="00B0079E" w:rsidRDefault="00F04FAC" w:rsidP="00F04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b/>
          <w:bCs/>
          <w:color w:val="343434"/>
          <w:sz w:val="18"/>
          <w:szCs w:val="18"/>
          <w:lang w:val="ru-RU" w:eastAsia="ru-RU"/>
        </w:rPr>
        <w:t>Категорий граждан, пользующихся льготами при оплате электроэнергии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b/>
          <w:bCs/>
          <w:i/>
          <w:iCs/>
          <w:color w:val="343434"/>
          <w:sz w:val="18"/>
          <w:szCs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Для регистрации льгот при себе необходимо иметь оригиналы документов и их копии (паспо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рт стр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. 2,3,4,5.)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color w:val="343434"/>
          <w:sz w:val="18"/>
          <w:szCs w:val="18"/>
          <w:lang w:eastAsia="ru-RU"/>
        </w:rPr>
        <w:t> 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 xml:space="preserve">Участники 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ВОВ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 (удостоверение, паспорт.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 xml:space="preserve"> )</w:t>
      </w:r>
      <w:proofErr w:type="gramEnd"/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2.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 xml:space="preserve">Ветераны 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труда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 (удостоверение, пенсионное удостоверение,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 xml:space="preserve"> паспорт)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3.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 xml:space="preserve">Ветераны 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военной службы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 xml:space="preserve">( 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удостоверение,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 xml:space="preserve"> паспорт)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4.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 xml:space="preserve">Награжденным знаком «Жителю Блокадного 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Ленинграда»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 xml:space="preserve"> –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(удостоверение, справка об инвалидности, паспо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рт с пр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опиской).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6.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Члены семей погибших (умерших) инвалидов войны, участников ВОВ и ветеранов боевых действий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 (удостоверение, паспорт).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7.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Несовершеннолетние узники концлагерей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 xml:space="preserve"> - не инвалиды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(удостоверение, паспорт).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8.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Родители и жены погибших военнослужащих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–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(удостоверение, паспорт).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9. Несовершеннолетние узники концлагерей – инвалиды (удостоверение, справка ВТЭК, паспорт).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10.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Репрессированные и реабилитированные</w:t>
      </w:r>
      <w:r w:rsidRPr="00B0079E">
        <w:rPr>
          <w:rFonts w:ascii="Arial" w:eastAsia="Times New Roman" w:hAnsi="Arial" w:cs="Arial"/>
          <w:b/>
          <w:bCs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(удостоверение, паспорт, справка о составе семьи).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lastRenderedPageBreak/>
        <w:t>11.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Многодетная семья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 (свидетельство о рождении детей на каждого ребенка, паспорт матери, справка о составе семьи)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F04FAC">
        <w:rPr>
          <w:rFonts w:ascii="Arial" w:eastAsia="Times New Roman" w:hAnsi="Arial" w:cs="Arial"/>
          <w:i/>
          <w:iCs/>
          <w:color w:val="343434"/>
          <w:sz w:val="18"/>
          <w:lang w:val="ru-RU" w:eastAsia="ru-RU"/>
        </w:rPr>
        <w:t>12.</w:t>
      </w:r>
      <w:r w:rsidRPr="00B0079E">
        <w:rPr>
          <w:rFonts w:ascii="Arial" w:eastAsia="Times New Roman" w:hAnsi="Arial" w:cs="Arial"/>
          <w:color w:val="343434"/>
          <w:sz w:val="18"/>
          <w:lang w:eastAsia="ru-RU"/>
        </w:rPr>
        <w:t> </w:t>
      </w:r>
      <w:r w:rsidRPr="00F04FAC">
        <w:rPr>
          <w:rFonts w:ascii="Arial" w:eastAsia="Times New Roman" w:hAnsi="Arial" w:cs="Arial"/>
          <w:i/>
          <w:iCs/>
          <w:color w:val="343434"/>
          <w:sz w:val="18"/>
          <w:u w:val="single"/>
          <w:lang w:val="ru-RU" w:eastAsia="ru-RU"/>
        </w:rPr>
        <w:t>Медицинский работник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F04FAC">
        <w:rPr>
          <w:rFonts w:ascii="Arial" w:eastAsia="Times New Roman" w:hAnsi="Arial" w:cs="Arial"/>
          <w:i/>
          <w:iCs/>
          <w:color w:val="343434"/>
          <w:sz w:val="18"/>
          <w:lang w:val="ru-RU" w:eastAsia="ru-RU"/>
        </w:rPr>
        <w:t>– (диплом об образовании, паспо</w:t>
      </w:r>
      <w:proofErr w:type="gramStart"/>
      <w:r w:rsidRPr="00F04FAC">
        <w:rPr>
          <w:rFonts w:ascii="Arial" w:eastAsia="Times New Roman" w:hAnsi="Arial" w:cs="Arial"/>
          <w:i/>
          <w:iCs/>
          <w:color w:val="343434"/>
          <w:sz w:val="18"/>
          <w:lang w:val="ru-RU" w:eastAsia="ru-RU"/>
        </w:rPr>
        <w:t>рт с пр</w:t>
      </w:r>
      <w:proofErr w:type="gramEnd"/>
      <w:r w:rsidRPr="00F04FAC">
        <w:rPr>
          <w:rFonts w:ascii="Arial" w:eastAsia="Times New Roman" w:hAnsi="Arial" w:cs="Arial"/>
          <w:i/>
          <w:iCs/>
          <w:color w:val="343434"/>
          <w:sz w:val="18"/>
          <w:lang w:val="ru-RU" w:eastAsia="ru-RU"/>
        </w:rPr>
        <w:t>опиской, справка о составе семьи, справка с места работы).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13.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Инвалиды и семьи, имеющие детей инвалидов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–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(справка ВТЭК, паспорт).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14.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Граждане, подвергшиеся воздействию радиации вследствие катастрофы на Чернобыльской АЭС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–(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удостоверение, паспорт).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15.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Ветеринарный врач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 (копия паспорта, справка с места работы, паспорт с пропиской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 xml:space="preserve"> )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16.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Работники культуры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–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(справка с места работы, паспо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рт с пр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опиской).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17.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Социальные работники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 (справка с места работы, паспо</w:t>
      </w:r>
      <w:proofErr w:type="gramStart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рт с</w:t>
      </w:r>
      <w:r w:rsidRPr="00B0079E">
        <w:rPr>
          <w:rFonts w:ascii="Arial" w:eastAsia="Times New Roman" w:hAnsi="Arial" w:cs="Arial"/>
          <w:b/>
          <w:bCs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пр</w:t>
      </w:r>
      <w:proofErr w:type="gramEnd"/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опиской).</w:t>
      </w:r>
    </w:p>
    <w:p w:rsidR="00F04FAC" w:rsidRPr="00B0079E" w:rsidRDefault="00F04FAC" w:rsidP="00F04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18"/>
          <w:szCs w:val="18"/>
          <w:lang w:val="ru-RU" w:eastAsia="ru-RU"/>
        </w:rPr>
      </w:pP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18.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 xml:space="preserve">Воспитатели детских садов, учителя, проживающие и 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u w:val="single"/>
          <w:lang w:val="ru-RU" w:eastAsia="ru-RU"/>
        </w:rPr>
        <w:t>работающие в сельской местности на территории Самарской области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-</w:t>
      </w:r>
      <w:r w:rsidRPr="00B0079E">
        <w:rPr>
          <w:rFonts w:ascii="Arial" w:eastAsia="Times New Roman" w:hAnsi="Arial" w:cs="Arial"/>
          <w:i/>
          <w:iCs/>
          <w:color w:val="343434"/>
          <w:sz w:val="18"/>
          <w:lang w:eastAsia="ru-RU"/>
        </w:rPr>
        <w:t> </w:t>
      </w:r>
      <w:r w:rsidRPr="00B0079E">
        <w:rPr>
          <w:rFonts w:ascii="Arial" w:eastAsia="Times New Roman" w:hAnsi="Arial" w:cs="Arial"/>
          <w:i/>
          <w:iCs/>
          <w:color w:val="343434"/>
          <w:sz w:val="18"/>
          <w:szCs w:val="18"/>
          <w:lang w:val="ru-RU" w:eastAsia="ru-RU"/>
        </w:rPr>
        <w:t>(справка с места работы, паспорт).</w:t>
      </w:r>
    </w:p>
    <w:p w:rsidR="00F04FAC" w:rsidRPr="00F04FAC" w:rsidRDefault="00F04FAC" w:rsidP="00F04FAC">
      <w:pPr>
        <w:rPr>
          <w:lang w:val="ru-RU"/>
        </w:rPr>
      </w:pPr>
    </w:p>
    <w:p w:rsidR="001D40A6" w:rsidRPr="00C75BFE" w:rsidRDefault="001D40A6">
      <w:pPr>
        <w:rPr>
          <w:lang w:val="ru-RU"/>
        </w:rPr>
      </w:pPr>
    </w:p>
    <w:sectPr w:rsidR="001D40A6" w:rsidRPr="00C75BFE" w:rsidSect="001D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FE"/>
    <w:rsid w:val="001D40A6"/>
    <w:rsid w:val="00C75BFE"/>
    <w:rsid w:val="00F0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E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260;fld=134;dst=10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1ADA7666EE9E43F77E7B4E76404E4D7831A564916B48BC3ACB07C3BF1947C5BE89F44AE33F1CEkFQ7L" TargetMode="External"/><Relationship Id="rId5" Type="http://schemas.openxmlformats.org/officeDocument/2006/relationships/hyperlink" Target="consultantplus://offline/ref=CE01ADA7666EE9E43F77E7B4E76404E4D7831B554915B48BC3ACB07C3BkFQ1L" TargetMode="External"/><Relationship Id="rId4" Type="http://schemas.openxmlformats.org/officeDocument/2006/relationships/hyperlink" Target="consultantplus://offline/main?base=LAW;n=114260;fld=134;dst=100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E.Feopentova</dc:creator>
  <cp:lastModifiedBy>E.Feopentova</cp:lastModifiedBy>
  <cp:revision>1</cp:revision>
  <dcterms:created xsi:type="dcterms:W3CDTF">2013-03-25T11:12:00Z</dcterms:created>
  <dcterms:modified xsi:type="dcterms:W3CDTF">2013-03-25T11:48:00Z</dcterms:modified>
</cp:coreProperties>
</file>